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D9864F" w14:textId="7623355E" w:rsidR="00055E9C" w:rsidRDefault="00D655EE" w:rsidP="00CF5806">
      <w:pPr>
        <w:rPr>
          <w:rFonts w:ascii="Times New Roman" w:hAnsi="Times New Roman" w:cs="Times New Roman"/>
        </w:rPr>
      </w:pPr>
      <w:r w:rsidRPr="00D655EE">
        <w:rPr>
          <w:rFonts w:ascii="Times New Roman" w:hAnsi="Times New Roman" w:cs="Times New Roman"/>
          <w:noProof/>
        </w:rPr>
        <w:drawing>
          <wp:anchor distT="0" distB="0" distL="114300" distR="114300" simplePos="0" relativeHeight="251658240" behindDoc="0" locked="0" layoutInCell="1" allowOverlap="1" wp14:anchorId="1229B257" wp14:editId="25802300">
            <wp:simplePos x="0" y="0"/>
            <wp:positionH relativeFrom="page">
              <wp:align>left</wp:align>
            </wp:positionH>
            <wp:positionV relativeFrom="margin">
              <wp:posOffset>-670560</wp:posOffset>
            </wp:positionV>
            <wp:extent cx="7947660" cy="8382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D20705.pdf"/>
                    <pic:cNvPicPr/>
                  </pic:nvPicPr>
                  <pic:blipFill rotWithShape="1">
                    <a:blip r:embed="rId5">
                      <a:extLst>
                        <a:ext uri="{28A0092B-C50C-407E-A947-70E740481C1C}">
                          <a14:useLocalDpi xmlns:a14="http://schemas.microsoft.com/office/drawing/2010/main" val="0"/>
                        </a:ext>
                      </a:extLst>
                    </a:blip>
                    <a:srcRect t="6216" r="-1096" b="85546"/>
                    <a:stretch/>
                  </pic:blipFill>
                  <pic:spPr bwMode="auto">
                    <a:xfrm>
                      <a:off x="0" y="0"/>
                      <a:ext cx="7947660" cy="838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9053C5" w14:textId="77777777" w:rsidR="0017790C" w:rsidRDefault="0017790C" w:rsidP="0017790C">
      <w:pPr>
        <w:pStyle w:val="BodyText"/>
        <w:spacing w:before="5"/>
        <w:rPr>
          <w:sz w:val="18"/>
        </w:rPr>
      </w:pPr>
    </w:p>
    <w:p w14:paraId="6BEA8F9F" w14:textId="4475328F" w:rsidR="0017790C" w:rsidRPr="00D031A2" w:rsidRDefault="00EF0251" w:rsidP="0017790C">
      <w:pPr>
        <w:pStyle w:val="BodyText"/>
        <w:jc w:val="center"/>
        <w:rPr>
          <w:sz w:val="26"/>
        </w:rPr>
      </w:pPr>
      <w:r>
        <w:rPr>
          <w:sz w:val="26"/>
        </w:rPr>
        <w:t>[[DATE]]</w:t>
      </w:r>
    </w:p>
    <w:p w14:paraId="2094A5B3" w14:textId="77777777" w:rsidR="0017790C" w:rsidRPr="00D031A2" w:rsidRDefault="0017790C" w:rsidP="0017790C">
      <w:pPr>
        <w:pStyle w:val="BodyText"/>
        <w:spacing w:before="4"/>
        <w:rPr>
          <w:sz w:val="21"/>
        </w:rPr>
      </w:pPr>
    </w:p>
    <w:p w14:paraId="01A57CE7" w14:textId="5B0191DD" w:rsidR="0017790C" w:rsidRPr="00D031A2" w:rsidRDefault="0017790C" w:rsidP="0017790C">
      <w:pPr>
        <w:pStyle w:val="BodyText"/>
        <w:tabs>
          <w:tab w:val="left" w:pos="5392"/>
        </w:tabs>
        <w:ind w:left="100"/>
      </w:pPr>
      <w:r w:rsidRPr="00D031A2">
        <w:t>The</w:t>
      </w:r>
      <w:r w:rsidRPr="00D031A2">
        <w:rPr>
          <w:spacing w:val="-2"/>
        </w:rPr>
        <w:t xml:space="preserve"> </w:t>
      </w:r>
      <w:r w:rsidRPr="00D031A2">
        <w:t>Honorable</w:t>
      </w:r>
      <w:r w:rsidRPr="00D031A2">
        <w:rPr>
          <w:spacing w:val="-2"/>
        </w:rPr>
        <w:t xml:space="preserve"> </w:t>
      </w:r>
      <w:r w:rsidRPr="00D031A2">
        <w:t>Brian Schatz</w:t>
      </w:r>
      <w:r w:rsidRPr="00D031A2">
        <w:tab/>
        <w:t>The</w:t>
      </w:r>
      <w:r w:rsidRPr="00D031A2">
        <w:rPr>
          <w:spacing w:val="-2"/>
        </w:rPr>
        <w:t xml:space="preserve"> </w:t>
      </w:r>
      <w:r w:rsidRPr="00D031A2">
        <w:t>Honorable</w:t>
      </w:r>
      <w:r w:rsidRPr="00D031A2">
        <w:rPr>
          <w:spacing w:val="-2"/>
        </w:rPr>
        <w:t xml:space="preserve"> </w:t>
      </w:r>
      <w:r w:rsidR="00EF0251">
        <w:t>Cindy Hyde-Smith</w:t>
      </w:r>
    </w:p>
    <w:p w14:paraId="44B55839" w14:textId="77777777" w:rsidR="0017790C" w:rsidRPr="00D031A2" w:rsidRDefault="0017790C" w:rsidP="0017790C">
      <w:pPr>
        <w:pStyle w:val="BodyText"/>
        <w:tabs>
          <w:tab w:val="left" w:pos="5419"/>
        </w:tabs>
        <w:spacing w:before="3" w:line="275" w:lineRule="exact"/>
        <w:ind w:left="100"/>
      </w:pPr>
      <w:r w:rsidRPr="00D031A2">
        <w:t>Chair</w:t>
      </w:r>
      <w:r w:rsidRPr="00D031A2">
        <w:tab/>
        <w:t>Ranking</w:t>
      </w:r>
      <w:r w:rsidRPr="00D031A2">
        <w:rPr>
          <w:spacing w:val="-2"/>
        </w:rPr>
        <w:t xml:space="preserve"> </w:t>
      </w:r>
      <w:r w:rsidRPr="00D031A2">
        <w:t>Member</w:t>
      </w:r>
    </w:p>
    <w:p w14:paraId="7C066649" w14:textId="7C32F0D5" w:rsidR="0017790C" w:rsidRPr="00D031A2" w:rsidRDefault="0017790C" w:rsidP="0017790C">
      <w:pPr>
        <w:pStyle w:val="BodyText"/>
        <w:tabs>
          <w:tab w:val="left" w:pos="5372"/>
        </w:tabs>
        <w:spacing w:line="242" w:lineRule="auto"/>
        <w:ind w:left="100" w:right="219"/>
      </w:pPr>
      <w:r w:rsidRPr="00D031A2">
        <w:t>Senate</w:t>
      </w:r>
      <w:r w:rsidRPr="00D031A2">
        <w:rPr>
          <w:spacing w:val="-3"/>
        </w:rPr>
        <w:t xml:space="preserve"> </w:t>
      </w:r>
      <w:r w:rsidRPr="00D031A2">
        <w:t>Appropriations</w:t>
      </w:r>
      <w:r w:rsidRPr="00D031A2">
        <w:rPr>
          <w:spacing w:val="-1"/>
        </w:rPr>
        <w:t xml:space="preserve"> </w:t>
      </w:r>
      <w:r w:rsidRPr="00D031A2">
        <w:t>Subcommittee</w:t>
      </w:r>
      <w:r w:rsidRPr="00D031A2">
        <w:rPr>
          <w:spacing w:val="-1"/>
        </w:rPr>
        <w:t xml:space="preserve"> </w:t>
      </w:r>
      <w:r w:rsidRPr="00D031A2">
        <w:t>on</w:t>
      </w:r>
      <w:r w:rsidRPr="00D031A2">
        <w:tab/>
        <w:t>Senat</w:t>
      </w:r>
      <w:r w:rsidR="00EF0251">
        <w:t xml:space="preserve">e Appropriations Subcommittee on </w:t>
      </w:r>
      <w:r w:rsidRPr="00D031A2">
        <w:t>Transportation,</w:t>
      </w:r>
      <w:r w:rsidRPr="00D031A2">
        <w:rPr>
          <w:spacing w:val="-1"/>
        </w:rPr>
        <w:t xml:space="preserve"> </w:t>
      </w:r>
      <w:r w:rsidRPr="00D031A2">
        <w:t>Housing</w:t>
      </w:r>
      <w:r w:rsidRPr="00D031A2">
        <w:rPr>
          <w:spacing w:val="-1"/>
        </w:rPr>
        <w:t xml:space="preserve"> </w:t>
      </w:r>
      <w:r w:rsidRPr="00D031A2">
        <w:t>and</w:t>
      </w:r>
      <w:r w:rsidRPr="00D031A2">
        <w:rPr>
          <w:spacing w:val="-1"/>
        </w:rPr>
        <w:t xml:space="preserve"> </w:t>
      </w:r>
      <w:r w:rsidRPr="00D031A2">
        <w:t>Urban</w:t>
      </w:r>
      <w:r w:rsidRPr="00D031A2">
        <w:tab/>
        <w:t>Transportation,</w:t>
      </w:r>
      <w:r w:rsidRPr="00D031A2">
        <w:rPr>
          <w:spacing w:val="-1"/>
        </w:rPr>
        <w:t xml:space="preserve"> </w:t>
      </w:r>
      <w:r w:rsidRPr="00D031A2">
        <w:t>Housing and</w:t>
      </w:r>
      <w:r w:rsidRPr="00D031A2">
        <w:rPr>
          <w:spacing w:val="-1"/>
        </w:rPr>
        <w:t xml:space="preserve"> </w:t>
      </w:r>
      <w:r w:rsidRPr="00D031A2">
        <w:t>Urban</w:t>
      </w:r>
    </w:p>
    <w:p w14:paraId="1C8EF32F" w14:textId="77777777" w:rsidR="0017790C" w:rsidRPr="00D031A2" w:rsidRDefault="0017790C" w:rsidP="0017790C">
      <w:pPr>
        <w:pStyle w:val="BodyText"/>
        <w:tabs>
          <w:tab w:val="left" w:pos="5405"/>
        </w:tabs>
        <w:spacing w:line="271" w:lineRule="exact"/>
        <w:ind w:left="100"/>
      </w:pPr>
      <w:r w:rsidRPr="00D031A2">
        <w:t>Development,</w:t>
      </w:r>
      <w:r w:rsidRPr="00D031A2">
        <w:rPr>
          <w:spacing w:val="-3"/>
        </w:rPr>
        <w:t xml:space="preserve"> </w:t>
      </w:r>
      <w:r w:rsidRPr="00D031A2">
        <w:t>and</w:t>
      </w:r>
      <w:r w:rsidRPr="00D031A2">
        <w:rPr>
          <w:spacing w:val="-2"/>
        </w:rPr>
        <w:t xml:space="preserve"> </w:t>
      </w:r>
      <w:r w:rsidRPr="00D031A2">
        <w:t>Related</w:t>
      </w:r>
      <w:r w:rsidRPr="00D031A2">
        <w:rPr>
          <w:spacing w:val="-2"/>
        </w:rPr>
        <w:t xml:space="preserve"> </w:t>
      </w:r>
      <w:r w:rsidRPr="00D031A2">
        <w:t>Agencies</w:t>
      </w:r>
      <w:r w:rsidRPr="00D031A2">
        <w:tab/>
        <w:t>Development,</w:t>
      </w:r>
      <w:r w:rsidRPr="00D031A2">
        <w:rPr>
          <w:spacing w:val="-3"/>
        </w:rPr>
        <w:t xml:space="preserve"> </w:t>
      </w:r>
      <w:r w:rsidRPr="00D031A2">
        <w:t>and</w:t>
      </w:r>
      <w:r w:rsidRPr="00D031A2">
        <w:rPr>
          <w:spacing w:val="-2"/>
        </w:rPr>
        <w:t xml:space="preserve"> </w:t>
      </w:r>
      <w:r w:rsidRPr="00D031A2">
        <w:t>Related</w:t>
      </w:r>
      <w:r w:rsidRPr="00D031A2">
        <w:rPr>
          <w:spacing w:val="-3"/>
        </w:rPr>
        <w:t xml:space="preserve"> </w:t>
      </w:r>
      <w:r w:rsidRPr="00D031A2">
        <w:t>Agencies</w:t>
      </w:r>
    </w:p>
    <w:p w14:paraId="331424DF" w14:textId="27D94281" w:rsidR="0017790C" w:rsidRPr="00D031A2" w:rsidRDefault="0017790C" w:rsidP="0017790C">
      <w:pPr>
        <w:pStyle w:val="BodyText"/>
        <w:tabs>
          <w:tab w:val="left" w:pos="5373"/>
        </w:tabs>
        <w:spacing w:before="1" w:line="480" w:lineRule="auto"/>
        <w:ind w:left="100" w:right="1731"/>
      </w:pPr>
      <w:r w:rsidRPr="00D031A2">
        <w:t>Washington,</w:t>
      </w:r>
      <w:r w:rsidRPr="00D031A2">
        <w:rPr>
          <w:spacing w:val="-1"/>
        </w:rPr>
        <w:t xml:space="preserve"> </w:t>
      </w:r>
      <w:r w:rsidRPr="00D031A2">
        <w:t>D.C.</w:t>
      </w:r>
      <w:r w:rsidRPr="00D031A2">
        <w:rPr>
          <w:spacing w:val="-1"/>
        </w:rPr>
        <w:t xml:space="preserve"> </w:t>
      </w:r>
      <w:r w:rsidR="00D031A2" w:rsidRPr="00D031A2">
        <w:t>20510</w:t>
      </w:r>
      <w:r w:rsidR="00D031A2" w:rsidRPr="00D031A2">
        <w:tab/>
        <w:t xml:space="preserve">Washington, D.C. </w:t>
      </w:r>
      <w:r w:rsidRPr="00D031A2">
        <w:t>Chair</w:t>
      </w:r>
      <w:r w:rsidRPr="00D031A2">
        <w:rPr>
          <w:spacing w:val="-1"/>
        </w:rPr>
        <w:t xml:space="preserve"> </w:t>
      </w:r>
      <w:r w:rsidRPr="00D031A2">
        <w:t>Schatz and Ranking Member</w:t>
      </w:r>
      <w:r w:rsidRPr="00D031A2">
        <w:rPr>
          <w:spacing w:val="-1"/>
        </w:rPr>
        <w:t xml:space="preserve"> </w:t>
      </w:r>
      <w:r w:rsidR="001F05F8">
        <w:t>Hyde-Smith</w:t>
      </w:r>
      <w:r w:rsidRPr="00D031A2">
        <w:t>,</w:t>
      </w:r>
    </w:p>
    <w:p w14:paraId="26D74DD7" w14:textId="43E36308" w:rsidR="0017790C" w:rsidRDefault="0017790C" w:rsidP="0017790C">
      <w:pPr>
        <w:pStyle w:val="BodyText"/>
        <w:ind w:left="100" w:right="248"/>
      </w:pPr>
      <w:r>
        <w:t>We write to re</w:t>
      </w:r>
      <w:r w:rsidR="00991903">
        <w:t>spectfully request at least $</w:t>
      </w:r>
      <w:r w:rsidR="002F001E">
        <w:t>1</w:t>
      </w:r>
      <w:r w:rsidR="007D28A3">
        <w:t>50</w:t>
      </w:r>
      <w:r>
        <w:t xml:space="preserve"> million for the National Transportation Safety</w:t>
      </w:r>
      <w:r>
        <w:rPr>
          <w:spacing w:val="1"/>
        </w:rPr>
        <w:t xml:space="preserve"> </w:t>
      </w:r>
      <w:r>
        <w:t xml:space="preserve">Board (NTSB) in the </w:t>
      </w:r>
      <w:r w:rsidR="00CE10BB">
        <w:t>f</w:t>
      </w:r>
      <w:r>
        <w:t xml:space="preserve">iscal </w:t>
      </w:r>
      <w:r w:rsidR="00CE10BB">
        <w:t>y</w:t>
      </w:r>
      <w:r w:rsidR="005B2804">
        <w:t>ear (FY) 202</w:t>
      </w:r>
      <w:r w:rsidR="00CE10BB">
        <w:t>5</w:t>
      </w:r>
      <w:r>
        <w:t xml:space="preserve"> Transportation, Housing and Urban Development</w:t>
      </w:r>
      <w:r w:rsidR="00B50CEC">
        <w:t xml:space="preserve"> </w:t>
      </w:r>
      <w:r>
        <w:t>and</w:t>
      </w:r>
      <w:r>
        <w:rPr>
          <w:spacing w:val="-1"/>
        </w:rPr>
        <w:t xml:space="preserve"> </w:t>
      </w:r>
      <w:r>
        <w:t>Related Agencies Appropriations bill</w:t>
      </w:r>
      <w:r w:rsidR="007D28A3">
        <w:t>, a $</w:t>
      </w:r>
      <w:r w:rsidR="00CE10BB">
        <w:t>10</w:t>
      </w:r>
      <w:r w:rsidR="007D28A3">
        <w:t xml:space="preserve"> million increase </w:t>
      </w:r>
      <w:r w:rsidR="00CE10BB">
        <w:t>from the fiscal year 2024 funding level</w:t>
      </w:r>
      <w:r>
        <w:t>.</w:t>
      </w:r>
    </w:p>
    <w:p w14:paraId="2CD1E7E1" w14:textId="77777777" w:rsidR="0017790C" w:rsidRDefault="0017790C" w:rsidP="0017790C">
      <w:pPr>
        <w:pStyle w:val="BodyText"/>
      </w:pPr>
    </w:p>
    <w:p w14:paraId="0BB9741D" w14:textId="282A0635" w:rsidR="0017790C" w:rsidRDefault="0017790C" w:rsidP="0017790C">
      <w:pPr>
        <w:pStyle w:val="BodyText"/>
        <w:ind w:left="100" w:right="102"/>
      </w:pPr>
      <w:r>
        <w:t xml:space="preserve">A series of tragic </w:t>
      </w:r>
      <w:r w:rsidR="007D28A3">
        <w:t>recent accidents</w:t>
      </w:r>
      <w:r>
        <w:t xml:space="preserve"> have highlighted NTSB’s critical role in</w:t>
      </w:r>
      <w:r>
        <w:rPr>
          <w:spacing w:val="1"/>
        </w:rPr>
        <w:t xml:space="preserve"> </w:t>
      </w:r>
      <w:r w:rsidR="008E6926">
        <w:t>transportation safety</w:t>
      </w:r>
      <w:r w:rsidR="00B50CEC">
        <w:t>—</w:t>
      </w:r>
      <w:r>
        <w:t>but without critical resources, the NTSB’s mission could be significantly</w:t>
      </w:r>
      <w:r>
        <w:rPr>
          <w:spacing w:val="1"/>
        </w:rPr>
        <w:t xml:space="preserve"> </w:t>
      </w:r>
      <w:r>
        <w:t xml:space="preserve">impaired. </w:t>
      </w:r>
      <w:r w:rsidR="007D28A3">
        <w:t xml:space="preserve">Last month’s devastating incident resulting in the collapse of the Francis Scott Key Bridge into Baltimore Harbor is just one such example. </w:t>
      </w:r>
      <w:r>
        <w:t xml:space="preserve">As you know, NTSB is mandated by Congress to address every civil aviation </w:t>
      </w:r>
      <w:r w:rsidR="008E6926">
        <w:t xml:space="preserve">accident in </w:t>
      </w:r>
      <w:r>
        <w:t>the country, as well as significant railroad, highway, marine, and pipeline accidents. We</w:t>
      </w:r>
      <w:r>
        <w:rPr>
          <w:spacing w:val="1"/>
        </w:rPr>
        <w:t xml:space="preserve"> </w:t>
      </w:r>
      <w:r>
        <w:t>cannot allow the Board’s vital safety mission to be undermined by budgets that reduce its ability</w:t>
      </w:r>
      <w:r w:rsidR="0015055C">
        <w:t xml:space="preserve"> </w:t>
      </w:r>
      <w:r>
        <w:t>to respond to accidents, regardless of where they occur. As we look towards major investments in our national transit systems, we must ensure that NTSB has the resources it needs to continue to keep riders safe. NTSB’s work in our region save</w:t>
      </w:r>
      <w:r w:rsidR="00B50CEC">
        <w:t>s</w:t>
      </w:r>
      <w:r>
        <w:rPr>
          <w:spacing w:val="-2"/>
        </w:rPr>
        <w:t xml:space="preserve"> </w:t>
      </w:r>
      <w:r>
        <w:t>lives,</w:t>
      </w:r>
      <w:r>
        <w:rPr>
          <w:spacing w:val="-1"/>
        </w:rPr>
        <w:t xml:space="preserve"> </w:t>
      </w:r>
      <w:r>
        <w:t>and we</w:t>
      </w:r>
      <w:r>
        <w:rPr>
          <w:spacing w:val="-2"/>
        </w:rPr>
        <w:t xml:space="preserve"> </w:t>
      </w:r>
      <w:r>
        <w:t>are</w:t>
      </w:r>
      <w:r>
        <w:rPr>
          <w:spacing w:val="-1"/>
        </w:rPr>
        <w:t xml:space="preserve"> </w:t>
      </w:r>
      <w:r>
        <w:t>committed</w:t>
      </w:r>
      <w:r>
        <w:rPr>
          <w:spacing w:val="-1"/>
        </w:rPr>
        <w:t xml:space="preserve"> </w:t>
      </w:r>
      <w:r>
        <w:t>to</w:t>
      </w:r>
      <w:r>
        <w:rPr>
          <w:spacing w:val="-1"/>
        </w:rPr>
        <w:t xml:space="preserve"> </w:t>
      </w:r>
      <w:r>
        <w:t>aiding that</w:t>
      </w:r>
      <w:r>
        <w:rPr>
          <w:spacing w:val="-1"/>
        </w:rPr>
        <w:t xml:space="preserve"> </w:t>
      </w:r>
      <w:r>
        <w:t>work in</w:t>
      </w:r>
      <w:r>
        <w:rPr>
          <w:spacing w:val="-1"/>
        </w:rPr>
        <w:t xml:space="preserve"> </w:t>
      </w:r>
      <w:r>
        <w:t>whatever manner</w:t>
      </w:r>
      <w:r>
        <w:rPr>
          <w:spacing w:val="-1"/>
        </w:rPr>
        <w:t xml:space="preserve"> </w:t>
      </w:r>
      <w:r>
        <w:t>we</w:t>
      </w:r>
      <w:r>
        <w:rPr>
          <w:spacing w:val="-2"/>
        </w:rPr>
        <w:t xml:space="preserve"> </w:t>
      </w:r>
      <w:r>
        <w:t>are</w:t>
      </w:r>
      <w:r>
        <w:rPr>
          <w:spacing w:val="-1"/>
        </w:rPr>
        <w:t xml:space="preserve"> </w:t>
      </w:r>
      <w:r>
        <w:t>able.</w:t>
      </w:r>
    </w:p>
    <w:p w14:paraId="64A83A0D" w14:textId="77777777" w:rsidR="0017790C" w:rsidRDefault="0017790C" w:rsidP="0017790C">
      <w:pPr>
        <w:pStyle w:val="BodyText"/>
      </w:pPr>
    </w:p>
    <w:p w14:paraId="24C7E36F" w14:textId="57E6C5A7" w:rsidR="0017790C" w:rsidRDefault="0017790C" w:rsidP="0017790C">
      <w:pPr>
        <w:pStyle w:val="BodyText"/>
        <w:ind w:left="100" w:right="90"/>
      </w:pPr>
      <w:r>
        <w:t>The Northeast rail corridor—the most heavily trafficked railway in the country—and other</w:t>
      </w:r>
      <w:r>
        <w:rPr>
          <w:spacing w:val="1"/>
        </w:rPr>
        <w:t xml:space="preserve"> </w:t>
      </w:r>
      <w:r>
        <w:t xml:space="preserve">passenger rail systems in the Northeast have suffered a number of accidents in recent years. </w:t>
      </w:r>
      <w:r w:rsidR="0015055C">
        <w:t>May 2015</w:t>
      </w:r>
      <w:r>
        <w:t xml:space="preserve"> saw the most tragic and high-profile Amtrak accident in a generation, when a Northeast</w:t>
      </w:r>
      <w:r>
        <w:rPr>
          <w:spacing w:val="1"/>
        </w:rPr>
        <w:t xml:space="preserve"> </w:t>
      </w:r>
      <w:r>
        <w:t>Regional train derailed in Philadelphia, killing eight passengers and injuring over two hundred</w:t>
      </w:r>
      <w:r>
        <w:rPr>
          <w:spacing w:val="1"/>
        </w:rPr>
        <w:t xml:space="preserve"> </w:t>
      </w:r>
      <w:r>
        <w:t>others. In response, NTSB launched staff to support on-scene activities and download</w:t>
      </w:r>
      <w:r>
        <w:rPr>
          <w:spacing w:val="1"/>
        </w:rPr>
        <w:t xml:space="preserve"> </w:t>
      </w:r>
      <w:r>
        <w:t xml:space="preserve">locomotive event recorders. NTSB engineers also processed forward-facing video </w:t>
      </w:r>
      <w:r w:rsidR="008E6926">
        <w:t>and recovered surveillance</w:t>
      </w:r>
      <w:r>
        <w:t xml:space="preserve"> video, portable electronic devices, and phone records from the wreckage. Most</w:t>
      </w:r>
      <w:r>
        <w:rPr>
          <w:spacing w:val="1"/>
        </w:rPr>
        <w:t xml:space="preserve"> </w:t>
      </w:r>
      <w:r>
        <w:t xml:space="preserve">recently, </w:t>
      </w:r>
      <w:r w:rsidR="0016461B">
        <w:t>outside the NEC, the NTSB initiated an investigation into the derailment and hazardous material release and fire in East Palestine, Ohio. This immediately impacted two thousand residents and will have an untold impact on the surrounding communities and environment</w:t>
      </w:r>
      <w:r>
        <w:t>. Throughout these major incidents and</w:t>
      </w:r>
      <w:r>
        <w:rPr>
          <w:spacing w:val="1"/>
        </w:rPr>
        <w:t xml:space="preserve"> </w:t>
      </w:r>
      <w:r>
        <w:t>successive safety breaches, the NTSB has been methodical, responsive, and capable in their</w:t>
      </w:r>
      <w:r>
        <w:rPr>
          <w:spacing w:val="1"/>
        </w:rPr>
        <w:t xml:space="preserve"> </w:t>
      </w:r>
      <w:r>
        <w:t xml:space="preserve">investigations. </w:t>
      </w:r>
      <w:r w:rsidR="00B50CEC">
        <w:t xml:space="preserve">It has </w:t>
      </w:r>
      <w:r>
        <w:t>shared important, life-saving recommendations with Metro-North,</w:t>
      </w:r>
      <w:r>
        <w:rPr>
          <w:spacing w:val="1"/>
        </w:rPr>
        <w:t xml:space="preserve"> </w:t>
      </w:r>
      <w:r>
        <w:t>FRA, Amtrak, and state regulators to help avert future tragedies, all while responding to new</w:t>
      </w:r>
      <w:r>
        <w:rPr>
          <w:spacing w:val="1"/>
        </w:rPr>
        <w:t xml:space="preserve"> </w:t>
      </w:r>
      <w:r>
        <w:t>incidents</w:t>
      </w:r>
      <w:r>
        <w:rPr>
          <w:spacing w:val="-1"/>
        </w:rPr>
        <w:t xml:space="preserve"> </w:t>
      </w:r>
      <w:r>
        <w:t>throughout</w:t>
      </w:r>
      <w:r>
        <w:rPr>
          <w:spacing w:val="-1"/>
        </w:rPr>
        <w:t xml:space="preserve"> </w:t>
      </w:r>
      <w:r>
        <w:t>the</w:t>
      </w:r>
      <w:r>
        <w:rPr>
          <w:spacing w:val="-1"/>
        </w:rPr>
        <w:t xml:space="preserve"> </w:t>
      </w:r>
      <w:r>
        <w:t>country</w:t>
      </w:r>
      <w:r>
        <w:rPr>
          <w:spacing w:val="-1"/>
        </w:rPr>
        <w:t xml:space="preserve"> </w:t>
      </w:r>
      <w:r>
        <w:t>and across all modes</w:t>
      </w:r>
      <w:r>
        <w:rPr>
          <w:spacing w:val="-1"/>
        </w:rPr>
        <w:t xml:space="preserve"> </w:t>
      </w:r>
      <w:r>
        <w:t>of transportation.</w:t>
      </w:r>
    </w:p>
    <w:p w14:paraId="236CE395" w14:textId="77777777" w:rsidR="0017790C" w:rsidRDefault="0017790C" w:rsidP="0017790C">
      <w:pPr>
        <w:pStyle w:val="BodyText"/>
        <w:spacing w:before="1"/>
      </w:pPr>
    </w:p>
    <w:p w14:paraId="0F86034F" w14:textId="341E031C" w:rsidR="00991903" w:rsidRPr="00991903" w:rsidRDefault="0015055C" w:rsidP="00991903">
      <w:pPr>
        <w:pStyle w:val="BodyText"/>
        <w:ind w:left="100" w:right="195"/>
      </w:pPr>
      <w:r>
        <w:t>Despite this</w:t>
      </w:r>
      <w:r w:rsidR="0017790C" w:rsidRPr="00295C7F">
        <w:t xml:space="preserve">, it is clear that NTSB’s resources are being strained under the weight of many </w:t>
      </w:r>
      <w:r w:rsidR="0017790C" w:rsidRPr="00295C7F">
        <w:lastRenderedPageBreak/>
        <w:t xml:space="preserve">ongoing investigations. NTSB has only </w:t>
      </w:r>
      <w:r w:rsidR="00123BE1">
        <w:t>eleven</w:t>
      </w:r>
      <w:r w:rsidR="00123BE1" w:rsidRPr="00295C7F">
        <w:t xml:space="preserve"> </w:t>
      </w:r>
      <w:r w:rsidR="0017790C" w:rsidRPr="00295C7F">
        <w:t xml:space="preserve">railroad investigators, and </w:t>
      </w:r>
      <w:r w:rsidR="00123BE1">
        <w:t>three</w:t>
      </w:r>
      <w:r w:rsidR="00123BE1" w:rsidRPr="00295C7F">
        <w:t xml:space="preserve"> </w:t>
      </w:r>
      <w:r w:rsidR="0017790C" w:rsidRPr="00295C7F">
        <w:t xml:space="preserve">are now eligible for retirement. </w:t>
      </w:r>
      <w:r w:rsidR="00991903" w:rsidRPr="00991903">
        <w:t xml:space="preserve">Those </w:t>
      </w:r>
      <w:r w:rsidR="00C2051E">
        <w:t>eleven</w:t>
      </w:r>
      <w:r w:rsidR="00C2051E" w:rsidRPr="00991903">
        <w:t xml:space="preserve"> </w:t>
      </w:r>
      <w:r w:rsidR="00991903" w:rsidRPr="00991903">
        <w:t xml:space="preserve">investigators are currently working on twenty-three open rail investigations (including </w:t>
      </w:r>
      <w:r w:rsidR="00FB14C3">
        <w:t>nine</w:t>
      </w:r>
      <w:r w:rsidR="00991903" w:rsidRPr="00991903">
        <w:t xml:space="preserve"> involving passenger train</w:t>
      </w:r>
      <w:r w:rsidR="009651F8">
        <w:t>s</w:t>
      </w:r>
      <w:r w:rsidR="00991903" w:rsidRPr="00991903">
        <w:t xml:space="preserve">). Further, NTSB currently has only </w:t>
      </w:r>
      <w:r w:rsidR="001D05FE">
        <w:t xml:space="preserve">two </w:t>
      </w:r>
      <w:r w:rsidR="00991903" w:rsidRPr="00991903">
        <w:t xml:space="preserve">hazardous materials investigators to support investigations for all modes; these investigators are currently supporting </w:t>
      </w:r>
      <w:r w:rsidR="003109B7">
        <w:t>three</w:t>
      </w:r>
      <w:r w:rsidR="003109B7" w:rsidRPr="00991903">
        <w:t xml:space="preserve"> </w:t>
      </w:r>
      <w:r w:rsidR="00991903" w:rsidRPr="00991903">
        <w:t xml:space="preserve">open investigations. </w:t>
      </w:r>
      <w:r w:rsidR="003109B7">
        <w:t>Two</w:t>
      </w:r>
      <w:r w:rsidR="00991903" w:rsidRPr="00991903">
        <w:t xml:space="preserve"> pipeline investigators are currently working on </w:t>
      </w:r>
      <w:r w:rsidR="006B5963">
        <w:t>two</w:t>
      </w:r>
      <w:r w:rsidR="006B5963" w:rsidRPr="00991903">
        <w:t xml:space="preserve"> </w:t>
      </w:r>
      <w:r w:rsidR="00991903" w:rsidRPr="00991903">
        <w:t>open pipeline investigations. While we have continually urged NTSB to complete its investigations as quickly as possible, the ability of the Board to speedily conclude such reviews is limited by its relatively small investigatory staff and the large number of matters requiring simultaneous investigation.</w:t>
      </w:r>
    </w:p>
    <w:p w14:paraId="3B057198" w14:textId="2AAED09E" w:rsidR="0017790C" w:rsidRDefault="0017790C" w:rsidP="00991903">
      <w:pPr>
        <w:pStyle w:val="BodyText"/>
        <w:ind w:left="100" w:right="195"/>
      </w:pPr>
    </w:p>
    <w:p w14:paraId="5AE3A13E" w14:textId="331A261D" w:rsidR="0017790C" w:rsidRPr="00D031A2" w:rsidRDefault="0017790C" w:rsidP="0017790C">
      <w:pPr>
        <w:pStyle w:val="BodyText"/>
        <w:spacing w:before="1"/>
        <w:ind w:left="100" w:right="135"/>
      </w:pPr>
      <w:r>
        <w:t xml:space="preserve">Our funding request would allow the agency </w:t>
      </w:r>
      <w:r w:rsidR="00991903">
        <w:t xml:space="preserve">to move towards its target of </w:t>
      </w:r>
      <w:r w:rsidR="008305ED">
        <w:t>4</w:t>
      </w:r>
      <w:r w:rsidR="007D28A3">
        <w:t>55</w:t>
      </w:r>
      <w:r w:rsidR="008305ED">
        <w:t xml:space="preserve"> </w:t>
      </w:r>
      <w:r>
        <w:t xml:space="preserve">full-time equivalent employees to fully staff the NTSB. </w:t>
      </w:r>
      <w:r w:rsidR="0015055C">
        <w:t>In addition</w:t>
      </w:r>
      <w:r>
        <w:t xml:space="preserve">, our request would allow the agency to </w:t>
      </w:r>
      <w:r w:rsidRPr="00D031A2">
        <w:t>continue its initiatives to stabilize its</w:t>
      </w:r>
      <w:r w:rsidRPr="00D031A2">
        <w:rPr>
          <w:spacing w:val="1"/>
        </w:rPr>
        <w:t xml:space="preserve"> </w:t>
      </w:r>
      <w:r w:rsidRPr="00D031A2">
        <w:t>workforce and improve investigative capabilities involving emerging transportation</w:t>
      </w:r>
      <w:r w:rsidRPr="00D031A2">
        <w:rPr>
          <w:spacing w:val="1"/>
        </w:rPr>
        <w:t xml:space="preserve"> </w:t>
      </w:r>
      <w:r w:rsidRPr="00D031A2">
        <w:t>technologies,</w:t>
      </w:r>
      <w:r w:rsidRPr="00D031A2">
        <w:rPr>
          <w:spacing w:val="-1"/>
        </w:rPr>
        <w:t xml:space="preserve"> </w:t>
      </w:r>
      <w:r w:rsidRPr="00D031A2">
        <w:t xml:space="preserve">including in rail. This request would also allow the agency to make programmatic investments in cybersecurity, system enhancements, and data analytics that would allow NTSB to keep pace with modern threats to transit safety. </w:t>
      </w:r>
    </w:p>
    <w:p w14:paraId="69ADBD3C" w14:textId="77777777" w:rsidR="0017790C" w:rsidRPr="00D031A2" w:rsidRDefault="0017790C" w:rsidP="0017790C">
      <w:pPr>
        <w:pStyle w:val="BodyText"/>
        <w:spacing w:before="9"/>
        <w:rPr>
          <w:sz w:val="23"/>
        </w:rPr>
      </w:pPr>
    </w:p>
    <w:p w14:paraId="49418E59" w14:textId="56B6A0F0" w:rsidR="0017790C" w:rsidRPr="00D031A2" w:rsidRDefault="0017790C" w:rsidP="008E6926">
      <w:pPr>
        <w:pStyle w:val="BodyText"/>
        <w:ind w:left="90"/>
      </w:pPr>
      <w:r w:rsidRPr="00D031A2">
        <w:t>We</w:t>
      </w:r>
      <w:r w:rsidRPr="00D031A2">
        <w:rPr>
          <w:spacing w:val="-3"/>
        </w:rPr>
        <w:t xml:space="preserve"> </w:t>
      </w:r>
      <w:r w:rsidRPr="00D031A2">
        <w:t>appreciate</w:t>
      </w:r>
      <w:r w:rsidRPr="00D031A2">
        <w:rPr>
          <w:spacing w:val="-3"/>
        </w:rPr>
        <w:t xml:space="preserve"> </w:t>
      </w:r>
      <w:r w:rsidRPr="00D031A2">
        <w:t>your</w:t>
      </w:r>
      <w:r w:rsidRPr="00D031A2">
        <w:rPr>
          <w:spacing w:val="-2"/>
        </w:rPr>
        <w:t xml:space="preserve"> </w:t>
      </w:r>
      <w:r w:rsidRPr="00D031A2">
        <w:t>attention</w:t>
      </w:r>
      <w:r w:rsidRPr="00D031A2">
        <w:rPr>
          <w:spacing w:val="-2"/>
        </w:rPr>
        <w:t xml:space="preserve"> </w:t>
      </w:r>
      <w:r w:rsidRPr="00D031A2">
        <w:t>to</w:t>
      </w:r>
      <w:r w:rsidRPr="00D031A2">
        <w:rPr>
          <w:spacing w:val="-2"/>
        </w:rPr>
        <w:t xml:space="preserve"> </w:t>
      </w:r>
      <w:r w:rsidRPr="00D031A2">
        <w:t>this</w:t>
      </w:r>
      <w:r w:rsidRPr="00D031A2">
        <w:rPr>
          <w:spacing w:val="-2"/>
        </w:rPr>
        <w:t xml:space="preserve"> </w:t>
      </w:r>
      <w:r w:rsidRPr="00D031A2">
        <w:t>important matter.</w:t>
      </w:r>
    </w:p>
    <w:p w14:paraId="72FEC738" w14:textId="77777777" w:rsidR="0017790C" w:rsidRPr="00D031A2" w:rsidRDefault="0017790C" w:rsidP="0017790C">
      <w:pPr>
        <w:pStyle w:val="BodyText"/>
      </w:pPr>
    </w:p>
    <w:p w14:paraId="2729FDE9" w14:textId="77777777" w:rsidR="00080033" w:rsidRPr="00D031A2" w:rsidRDefault="00080033" w:rsidP="00080033">
      <w:pPr>
        <w:rPr>
          <w:rFonts w:ascii="Times New Roman" w:hAnsi="Times New Roman" w:cs="Times New Roman"/>
        </w:rPr>
      </w:pPr>
      <w:r w:rsidRPr="00D031A2">
        <w:rPr>
          <w:rFonts w:ascii="Times New Roman" w:hAnsi="Times New Roman" w:cs="Times New Roman"/>
        </w:rPr>
        <w:t>[[CLOSING]]</w:t>
      </w:r>
    </w:p>
    <w:p w14:paraId="10FEAB04" w14:textId="77777777" w:rsidR="00080033" w:rsidRPr="00D031A2" w:rsidRDefault="00080033" w:rsidP="00080033">
      <w:pPr>
        <w:rPr>
          <w:rFonts w:ascii="Times New Roman" w:hAnsi="Times New Roman" w:cs="Times New Roman"/>
        </w:rPr>
      </w:pPr>
    </w:p>
    <w:p w14:paraId="14F363FD" w14:textId="77777777" w:rsidR="00080033" w:rsidRPr="00D031A2" w:rsidRDefault="00080033" w:rsidP="00080033">
      <w:pPr>
        <w:rPr>
          <w:rFonts w:ascii="Times New Roman" w:hAnsi="Times New Roman" w:cs="Times New Roman"/>
        </w:rPr>
      </w:pPr>
      <w:r w:rsidRPr="00D031A2">
        <w:rPr>
          <w:rFonts w:ascii="Times New Roman" w:hAnsi="Times New Roman" w:cs="Times New Roman"/>
        </w:rPr>
        <w:t>[[SIGNATURES]]</w:t>
      </w:r>
    </w:p>
    <w:p w14:paraId="67A513FE" w14:textId="77777777" w:rsidR="00055E9C" w:rsidRPr="00D031A2" w:rsidRDefault="00055E9C" w:rsidP="00055E9C">
      <w:pPr>
        <w:rPr>
          <w:rFonts w:ascii="Times New Roman" w:hAnsi="Times New Roman" w:cs="Times New Roman"/>
        </w:rPr>
      </w:pPr>
    </w:p>
    <w:p w14:paraId="7DD15370" w14:textId="77777777" w:rsidR="00055E9C" w:rsidRPr="00055E9C" w:rsidRDefault="00055E9C" w:rsidP="00055E9C">
      <w:pPr>
        <w:rPr>
          <w:rFonts w:ascii="Times New Roman" w:hAnsi="Times New Roman" w:cs="Times New Roman"/>
        </w:rPr>
      </w:pPr>
    </w:p>
    <w:p w14:paraId="797D1C10" w14:textId="627AE459" w:rsidR="00055E9C" w:rsidRDefault="00055E9C" w:rsidP="00055E9C">
      <w:pPr>
        <w:rPr>
          <w:rFonts w:ascii="Times New Roman" w:hAnsi="Times New Roman" w:cs="Times New Roman"/>
        </w:rPr>
      </w:pPr>
    </w:p>
    <w:p w14:paraId="1F97237E" w14:textId="77777777" w:rsidR="00EF5C7B" w:rsidRPr="00055E9C" w:rsidRDefault="00EF5C7B" w:rsidP="00055E9C">
      <w:pPr>
        <w:jc w:val="right"/>
        <w:rPr>
          <w:rFonts w:ascii="Times New Roman" w:hAnsi="Times New Roman" w:cs="Times New Roman"/>
        </w:rPr>
      </w:pPr>
    </w:p>
    <w:sectPr w:rsidR="00EF5C7B" w:rsidRPr="00055E9C" w:rsidSect="00BA38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19D"/>
    <w:rsid w:val="00055E9C"/>
    <w:rsid w:val="00080033"/>
    <w:rsid w:val="00097675"/>
    <w:rsid w:val="00123BE1"/>
    <w:rsid w:val="0015055C"/>
    <w:rsid w:val="0016461B"/>
    <w:rsid w:val="001664A0"/>
    <w:rsid w:val="0017790C"/>
    <w:rsid w:val="0019608D"/>
    <w:rsid w:val="001C5F49"/>
    <w:rsid w:val="001D05FE"/>
    <w:rsid w:val="001E07B0"/>
    <w:rsid w:val="001E0CB8"/>
    <w:rsid w:val="001F05F8"/>
    <w:rsid w:val="0025062B"/>
    <w:rsid w:val="00265002"/>
    <w:rsid w:val="002F001E"/>
    <w:rsid w:val="002F5FA9"/>
    <w:rsid w:val="003109B7"/>
    <w:rsid w:val="0034463E"/>
    <w:rsid w:val="003E4D46"/>
    <w:rsid w:val="00477F32"/>
    <w:rsid w:val="0053433D"/>
    <w:rsid w:val="00560E99"/>
    <w:rsid w:val="005B2804"/>
    <w:rsid w:val="006070E7"/>
    <w:rsid w:val="006508C9"/>
    <w:rsid w:val="006B5963"/>
    <w:rsid w:val="006D7E19"/>
    <w:rsid w:val="007D28A3"/>
    <w:rsid w:val="00824F37"/>
    <w:rsid w:val="008305ED"/>
    <w:rsid w:val="008E6926"/>
    <w:rsid w:val="008F7777"/>
    <w:rsid w:val="00933244"/>
    <w:rsid w:val="009651F8"/>
    <w:rsid w:val="00982FF6"/>
    <w:rsid w:val="00991903"/>
    <w:rsid w:val="00AB53A7"/>
    <w:rsid w:val="00AE719D"/>
    <w:rsid w:val="00B50CEC"/>
    <w:rsid w:val="00BA38DB"/>
    <w:rsid w:val="00C2051E"/>
    <w:rsid w:val="00C613C4"/>
    <w:rsid w:val="00C80716"/>
    <w:rsid w:val="00CE10BB"/>
    <w:rsid w:val="00CF5806"/>
    <w:rsid w:val="00D031A2"/>
    <w:rsid w:val="00D655EE"/>
    <w:rsid w:val="00DE6848"/>
    <w:rsid w:val="00EA59AA"/>
    <w:rsid w:val="00EF0251"/>
    <w:rsid w:val="00EF438D"/>
    <w:rsid w:val="00EF5C7B"/>
    <w:rsid w:val="00F61026"/>
    <w:rsid w:val="00FB1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B0BA2"/>
  <w15:chartTrackingRefBased/>
  <w15:docId w15:val="{4BD8BC9F-C9C0-C242-B888-26E0020EB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55E9C"/>
    <w:pPr>
      <w:spacing w:before="100" w:beforeAutospacing="1" w:after="100" w:afterAutospacing="1"/>
    </w:pPr>
    <w:rPr>
      <w:rFonts w:ascii="Times New Roman" w:hAnsi="Times New Roman" w:cs="Times New Roman"/>
    </w:rPr>
  </w:style>
  <w:style w:type="paragraph" w:styleId="NoSpacing">
    <w:name w:val="No Spacing"/>
    <w:basedOn w:val="Normal"/>
    <w:uiPriority w:val="1"/>
    <w:qFormat/>
    <w:rsid w:val="00055E9C"/>
    <w:rPr>
      <w:rFonts w:ascii="Calibri" w:hAnsi="Calibri" w:cs="Calibri"/>
      <w:sz w:val="22"/>
      <w:szCs w:val="22"/>
    </w:rPr>
  </w:style>
  <w:style w:type="paragraph" w:styleId="BodyText">
    <w:name w:val="Body Text"/>
    <w:basedOn w:val="Normal"/>
    <w:link w:val="BodyTextChar"/>
    <w:uiPriority w:val="1"/>
    <w:qFormat/>
    <w:rsid w:val="0017790C"/>
    <w:pPr>
      <w:widowControl w:val="0"/>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17790C"/>
    <w:rPr>
      <w:rFonts w:ascii="Times New Roman" w:eastAsia="Times New Roman" w:hAnsi="Times New Roman" w:cs="Times New Roman"/>
    </w:rPr>
  </w:style>
  <w:style w:type="paragraph" w:customStyle="1" w:styleId="CiteItBibliographyTitle">
    <w:name w:val="CiteIt Bibliography Title"/>
    <w:basedOn w:val="Normal"/>
    <w:link w:val="CiteItBibliographyTitleChar"/>
    <w:autoRedefine/>
    <w:qFormat/>
    <w:rsid w:val="006508C9"/>
    <w:pPr>
      <w:jc w:val="center"/>
    </w:pPr>
    <w:rPr>
      <w:rFonts w:ascii="Times New Roman" w:hAnsi="Times New Roman" w:cs="Times New Roman"/>
      <w:sz w:val="32"/>
    </w:rPr>
  </w:style>
  <w:style w:type="character" w:customStyle="1" w:styleId="CiteItBibliographyTitleChar">
    <w:name w:val="CiteIt Bibliography Title Char"/>
    <w:basedOn w:val="DefaultParagraphFont"/>
    <w:link w:val="CiteItBibliographyTitle"/>
    <w:rsid w:val="006508C9"/>
    <w:rPr>
      <w:rFonts w:ascii="Times New Roman" w:hAnsi="Times New Roman" w:cs="Times New Roman"/>
      <w:sz w:val="32"/>
    </w:rPr>
  </w:style>
  <w:style w:type="paragraph" w:styleId="Revision">
    <w:name w:val="Revision"/>
    <w:hidden/>
    <w:uiPriority w:val="99"/>
    <w:semiHidden/>
    <w:rsid w:val="002F001E"/>
  </w:style>
  <w:style w:type="character" w:styleId="CommentReference">
    <w:name w:val="annotation reference"/>
    <w:basedOn w:val="DefaultParagraphFont"/>
    <w:uiPriority w:val="99"/>
    <w:semiHidden/>
    <w:unhideWhenUsed/>
    <w:rsid w:val="006D7E19"/>
    <w:rPr>
      <w:sz w:val="16"/>
      <w:szCs w:val="16"/>
    </w:rPr>
  </w:style>
  <w:style w:type="paragraph" w:styleId="CommentText">
    <w:name w:val="annotation text"/>
    <w:basedOn w:val="Normal"/>
    <w:link w:val="CommentTextChar"/>
    <w:uiPriority w:val="99"/>
    <w:unhideWhenUsed/>
    <w:rsid w:val="006D7E19"/>
    <w:rPr>
      <w:sz w:val="20"/>
      <w:szCs w:val="20"/>
    </w:rPr>
  </w:style>
  <w:style w:type="character" w:customStyle="1" w:styleId="CommentTextChar">
    <w:name w:val="Comment Text Char"/>
    <w:basedOn w:val="DefaultParagraphFont"/>
    <w:link w:val="CommentText"/>
    <w:uiPriority w:val="99"/>
    <w:rsid w:val="006D7E19"/>
    <w:rPr>
      <w:sz w:val="20"/>
      <w:szCs w:val="20"/>
    </w:rPr>
  </w:style>
  <w:style w:type="paragraph" w:styleId="CommentSubject">
    <w:name w:val="annotation subject"/>
    <w:basedOn w:val="CommentText"/>
    <w:next w:val="CommentText"/>
    <w:link w:val="CommentSubjectChar"/>
    <w:uiPriority w:val="99"/>
    <w:semiHidden/>
    <w:unhideWhenUsed/>
    <w:rsid w:val="006D7E19"/>
    <w:rPr>
      <w:b/>
      <w:bCs/>
    </w:rPr>
  </w:style>
  <w:style w:type="character" w:customStyle="1" w:styleId="CommentSubjectChar">
    <w:name w:val="Comment Subject Char"/>
    <w:basedOn w:val="CommentTextChar"/>
    <w:link w:val="CommentSubject"/>
    <w:uiPriority w:val="99"/>
    <w:semiHidden/>
    <w:rsid w:val="006D7E19"/>
    <w:rPr>
      <w:b/>
      <w:bCs/>
      <w:sz w:val="20"/>
      <w:szCs w:val="20"/>
    </w:rPr>
  </w:style>
  <w:style w:type="paragraph" w:styleId="BalloonText">
    <w:name w:val="Balloon Text"/>
    <w:basedOn w:val="Normal"/>
    <w:link w:val="BalloonTextChar"/>
    <w:uiPriority w:val="99"/>
    <w:semiHidden/>
    <w:unhideWhenUsed/>
    <w:rsid w:val="00DE684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68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8969827">
      <w:bodyDiv w:val="1"/>
      <w:marLeft w:val="0"/>
      <w:marRight w:val="0"/>
      <w:marTop w:val="0"/>
      <w:marBottom w:val="0"/>
      <w:divBdr>
        <w:top w:val="none" w:sz="0" w:space="0" w:color="auto"/>
        <w:left w:val="none" w:sz="0" w:space="0" w:color="auto"/>
        <w:bottom w:val="none" w:sz="0" w:space="0" w:color="auto"/>
        <w:right w:val="none" w:sz="0" w:space="0" w:color="auto"/>
      </w:divBdr>
    </w:div>
    <w:div w:id="1499073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56067D-8673-4908-8B64-26BE031FC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3765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McEnroe, Liam (Murphy)</cp:lastModifiedBy>
  <cp:revision>4</cp:revision>
  <dcterms:created xsi:type="dcterms:W3CDTF">2024-04-17T19:41:00Z</dcterms:created>
  <dcterms:modified xsi:type="dcterms:W3CDTF">2024-04-19T20:48:00Z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ibliographyTitle">
    <vt:lpwstr/>
  </property>
</Properties>
</file>